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Правила оплаты 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К оплате принимаются платежные карты</w:t>
      </w:r>
      <w:r>
        <w:rPr>
          <w:rtl w:val="0"/>
          <w:lang w:val="ru-RU"/>
        </w:rPr>
        <w:t xml:space="preserve">: VISA Inc, MasterCard WorldWide, </w:t>
      </w:r>
      <w:r>
        <w:rPr>
          <w:rtl w:val="0"/>
          <w:lang w:val="ru-RU"/>
        </w:rPr>
        <w:t>МИР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Для оплаты товара банковской картой при оформлении заказа в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магазине выберите способ оплаты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банковской картой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При оплате заказа банковской картой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обработка платежа происходит на авторизационной странице банка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Вам необходимо ввести данные Вашей банковской карты</w:t>
      </w:r>
      <w:r>
        <w:rPr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>тип карты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>номер карты</w:t>
      </w:r>
      <w:r>
        <w:rPr>
          <w:rFonts w:ascii="Calibri" w:hAnsi="Calibri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 xml:space="preserve">срок действия карты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указан на лицевой стороне карты</w:t>
      </w:r>
      <w:r>
        <w:rPr>
          <w:rFonts w:ascii="Calibri" w:hAnsi="Calibri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 xml:space="preserve">Имя держателя карты </w:t>
      </w:r>
      <w:r>
        <w:rPr>
          <w:rFonts w:ascii="Calibri" w:hAnsi="Calibri"/>
          <w:rtl w:val="0"/>
          <w:lang w:val="ru-RU"/>
        </w:rPr>
        <w:t>(</w:t>
      </w:r>
      <w:r>
        <w:rPr>
          <w:rFonts w:ascii="Calibri" w:hAnsi="Calibri" w:hint="default"/>
          <w:rtl w:val="0"/>
          <w:lang w:val="ru-RU"/>
        </w:rPr>
        <w:t>латинскими буквами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точно также как указано на карте</w:t>
      </w:r>
      <w:r>
        <w:rPr>
          <w:rFonts w:ascii="Calibri" w:hAnsi="Calibri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/>
          <w:rtl w:val="0"/>
          <w:lang w:val="ru-RU"/>
        </w:rPr>
      </w:pPr>
      <w:r>
        <w:rPr>
          <w:rFonts w:ascii="Calibri" w:hAnsi="Calibri"/>
          <w:rtl w:val="0"/>
          <w:lang w:val="ru-RU"/>
        </w:rPr>
        <w:t xml:space="preserve">CVC2/CVV2 </w:t>
      </w:r>
      <w:r>
        <w:rPr>
          <w:rFonts w:ascii="Calibri" w:hAnsi="Calibri" w:hint="default"/>
          <w:rtl w:val="0"/>
          <w:lang w:val="ru-RU"/>
        </w:rPr>
        <w:t>код</w:t>
      </w:r>
    </w:p>
    <w:p>
      <w:pPr>
        <w:pStyle w:val="Normal.0"/>
        <w:spacing w:after="200" w:line="276" w:lineRule="auto"/>
        <w:ind w:left="360" w:firstLine="0"/>
        <w:jc w:val="center"/>
        <w:rPr>
          <w:lang w:val="en-US"/>
        </w:rPr>
      </w:pPr>
      <w:r>
        <w:rPr>
          <w:lang w:val="en-US"/>
        </w:rPr>
        <w:drawing xmlns:a="http://schemas.openxmlformats.org/drawingml/2006/main">
          <wp:inline distT="0" distB="0" distL="0" distR="0">
            <wp:extent cx="3448050" cy="2276475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 xml:space="preserve">Если Ваша карта подключена к услуге </w:t>
      </w:r>
      <w:r>
        <w:rPr>
          <w:rtl w:val="0"/>
          <w:lang w:val="ru-RU"/>
        </w:rPr>
        <w:t xml:space="preserve">3D-Secure, </w:t>
      </w:r>
      <w:r>
        <w:rPr>
          <w:rtl w:val="0"/>
          <w:lang w:val="ru-RU"/>
        </w:rPr>
        <w:t>Вы будете автоматически переадресованы на страницу банка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выпустившего карту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прохождения процедуры аутентификации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Информацию о правилах и методах дополнительной идентификации уточняйте в Банке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выдавшем Вам банковскую карту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Безопасность обработки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платежей через платежный шлюз банка гарантирована международным сертификатом безопасности </w:t>
      </w:r>
      <w:r>
        <w:rPr>
          <w:rtl w:val="0"/>
          <w:lang w:val="ru-RU"/>
        </w:rPr>
        <w:t xml:space="preserve">PCI DSS. </w:t>
      </w:r>
      <w:r>
        <w:rPr>
          <w:rtl w:val="0"/>
          <w:lang w:val="ru-RU"/>
        </w:rPr>
        <w:t xml:space="preserve">Передача информации происходит с применением технологии шифрования </w:t>
      </w:r>
      <w:r>
        <w:rPr>
          <w:rtl w:val="0"/>
          <w:lang w:val="en-US"/>
        </w:rPr>
        <w:t>TLS</w:t>
      </w:r>
      <w:r>
        <w:rPr>
          <w:rtl w:val="0"/>
          <w:lang w:val="ru-RU"/>
        </w:rPr>
        <w:t xml:space="preserve">. </w:t>
      </w:r>
      <w:r>
        <w:rPr>
          <w:rFonts w:ascii="Times New Roman" w:hAnsi="Times New Roman" w:hint="default"/>
          <w:outline w:val="0"/>
          <w:color w:val="939393"/>
          <w:sz w:val="18"/>
          <w:szCs w:val="18"/>
          <w:u w:color="939393"/>
          <w:shd w:val="clear" w:color="auto" w:fill="ffffff"/>
          <w:rtl w:val="0"/>
          <w:lang w:val="ru-RU"/>
          <w14:textFill>
            <w14:solidFill>
              <w14:srgbClr w14:val="939393"/>
            </w14:solidFill>
          </w14:textFill>
        </w:rPr>
        <w:t> </w:t>
      </w:r>
      <w:r>
        <w:rPr>
          <w:rtl w:val="0"/>
          <w:lang w:val="ru-RU"/>
        </w:rPr>
        <w:t>Эта информация недоступна посторонним лицам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Советы и рекомендации по необходимым мерам безопасности проведения платежей с использованием банковской карты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>берегите свои пластиковые карты</w:t>
      </w:r>
      <w:r>
        <w:rPr>
          <w:rFonts w:ascii="Calibri" w:hAnsi="Calibri" w:hint="default"/>
          <w:rtl w:val="0"/>
          <w:lang w:val="ru-RU"/>
        </w:rPr>
        <w:t xml:space="preserve"> так же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как бережете наличные деньги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Не забывайте их в машине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ресторане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магазине и т</w:t>
      </w:r>
      <w:r>
        <w:rPr>
          <w:rFonts w:ascii="Calibri" w:hAnsi="Calibri"/>
          <w:rtl w:val="0"/>
          <w:lang w:val="ru-RU"/>
        </w:rPr>
        <w:t>.</w:t>
      </w:r>
      <w:r>
        <w:rPr>
          <w:rFonts w:ascii="Calibri" w:hAnsi="Calibri" w:hint="default"/>
          <w:rtl w:val="0"/>
          <w:lang w:val="ru-RU"/>
        </w:rPr>
        <w:t>д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 xml:space="preserve">никогда </w:t>
      </w:r>
      <w:r>
        <w:rPr>
          <w:rFonts w:ascii="Calibri" w:hAnsi="Calibri" w:hint="default"/>
          <w:b w:val="1"/>
          <w:bCs w:val="1"/>
          <w:rtl w:val="0"/>
          <w:lang w:val="ru-RU"/>
        </w:rPr>
        <w:t>не передавайте полный номер своей кредитной карты</w:t>
      </w:r>
      <w:r>
        <w:rPr>
          <w:rFonts w:ascii="Calibri" w:hAnsi="Calibri" w:hint="default"/>
          <w:rtl w:val="0"/>
          <w:lang w:val="ru-RU"/>
        </w:rPr>
        <w:t xml:space="preserve"> по телефону каким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либо лицам или компаниям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>всегда имейте под рукой номер телефона для экстренной связи с банком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выпустившим вашу карту</w:t>
      </w:r>
      <w:r>
        <w:rPr>
          <w:rFonts w:ascii="Calibri" w:hAnsi="Calibri"/>
          <w:rtl w:val="0"/>
          <w:lang w:val="ru-RU"/>
        </w:rPr>
        <w:t xml:space="preserve">, </w:t>
      </w:r>
      <w:r>
        <w:rPr>
          <w:rFonts w:ascii="Calibri" w:hAnsi="Calibri" w:hint="default"/>
          <w:rtl w:val="0"/>
          <w:lang w:val="ru-RU"/>
        </w:rPr>
        <w:t>и в случае ее утраты немедленно свяжитесь с банком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Calibri" w:hAnsi="Calibri" w:hint="default"/>
          <w:rtl w:val="0"/>
          <w:lang w:val="ru-RU"/>
        </w:rPr>
        <w:t>вводите реквизиты карты  только при совершении покупки</w:t>
      </w:r>
      <w:r>
        <w:rPr>
          <w:rFonts w:ascii="Calibri" w:hAnsi="Calibri"/>
          <w:rtl w:val="0"/>
          <w:lang w:val="ru-RU"/>
        </w:rPr>
        <w:t xml:space="preserve">. </w:t>
      </w:r>
      <w:r>
        <w:rPr>
          <w:rFonts w:ascii="Calibri" w:hAnsi="Calibri" w:hint="default"/>
          <w:rtl w:val="0"/>
          <w:lang w:val="ru-RU"/>
        </w:rPr>
        <w:t>Никогда не указывайте их по каким</w:t>
      </w:r>
      <w:r>
        <w:rPr>
          <w:rFonts w:ascii="Calibri" w:hAnsi="Calibri"/>
          <w:rtl w:val="0"/>
          <w:lang w:val="ru-RU"/>
        </w:rPr>
        <w:t>-</w:t>
      </w:r>
      <w:r>
        <w:rPr>
          <w:rFonts w:ascii="Calibri" w:hAnsi="Calibri" w:hint="default"/>
          <w:rtl w:val="0"/>
          <w:lang w:val="ru-RU"/>
        </w:rPr>
        <w:t>то другим причинам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Normal.0"/>
      </w:pPr>
      <w:r>
        <w:rPr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3714750" cy="352425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spacing w:after="200" w:line="276" w:lineRule="auto"/>
      </w:pPr>
    </w:p>
    <w:p>
      <w:pPr>
        <w:pStyle w:val="Normal.0"/>
        <w:spacing w:after="200"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Возврат товара</w:t>
      </w:r>
    </w:p>
    <w:p>
      <w:pPr>
        <w:pStyle w:val="Normal.0"/>
        <w:shd w:val="clear" w:color="auto" w:fill="ffffff"/>
        <w:spacing w:before="210" w:after="210" w:line="300" w:lineRule="atLeast"/>
        <w:ind w:right="300"/>
        <w:jc w:val="both"/>
      </w:pPr>
      <w:r>
        <w:rPr>
          <w:rtl w:val="0"/>
          <w:lang w:val="ru-RU"/>
        </w:rPr>
        <w:t xml:space="preserve">Процедура возврата товара регламентируется статьей </w:t>
      </w:r>
      <w:r>
        <w:rPr>
          <w:rtl w:val="0"/>
          <w:lang w:val="ru-RU"/>
        </w:rPr>
        <w:t xml:space="preserve">26.1 </w:t>
      </w:r>
      <w:r>
        <w:rPr>
          <w:rtl w:val="0"/>
          <w:lang w:val="ru-RU"/>
        </w:rPr>
        <w:t>федерального закона «О защите прав потребителей»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shd w:val="clear" w:color="auto" w:fill="ffffff"/>
        <w:spacing w:line="300" w:lineRule="atLeast"/>
        <w:jc w:val="both"/>
        <w:rPr>
          <w:lang w:val="ru-RU"/>
        </w:rPr>
      </w:pPr>
      <w:r>
        <w:rPr>
          <w:rtl w:val="0"/>
          <w:lang w:val="ru-RU"/>
        </w:rPr>
        <w:t> Потребитель вправе отказаться от товара в любое время до его передачи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после передачи товара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течение семи дней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ffffff"/>
        <w:spacing w:line="300" w:lineRule="atLeast"/>
        <w:jc w:val="both"/>
        <w:rPr>
          <w:lang w:val="ru-RU"/>
        </w:rPr>
      </w:pPr>
      <w:r>
        <w:rPr>
          <w:rtl w:val="0"/>
          <w:lang w:val="ru-RU"/>
        </w:rPr>
        <w:t> Возврат товара надлежащего качества возможен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сохранены его товарный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потребительские свойства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подтверждающий факт и условия покупки указанного товара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ffffff"/>
        <w:spacing w:line="300" w:lineRule="atLeast"/>
        <w:jc w:val="both"/>
        <w:rPr>
          <w:lang w:val="ru-RU"/>
        </w:rPr>
      </w:pPr>
      <w:r>
        <w:rPr>
          <w:rtl w:val="0"/>
          <w:lang w:val="ru-RU"/>
        </w:rPr>
        <w:t> Потребитель не вправе отказаться от товара надлежащего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имеющего индивидуально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определенные свойства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указанный товар может быть использован исключительно приобретающим его человеком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ffffff"/>
        <w:spacing w:line="300" w:lineRule="atLeast"/>
        <w:jc w:val="both"/>
        <w:rPr>
          <w:lang w:val="ru-RU"/>
        </w:rPr>
      </w:pPr>
      <w:r>
        <w:rPr>
          <w:rtl w:val="0"/>
          <w:lang w:val="ru-RU"/>
        </w:rPr>
        <w:t> При отказе потребителя от товара продавец должен возвратить ему денежную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уплаченную потребителем по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расходов продавца на доставку от потребителя возвращенного товара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позднее чем через десять дней со дня предъявления потребителем соответствующего требования</w:t>
      </w:r>
      <w:r>
        <w:rPr>
          <w:rtl w:val="0"/>
          <w:lang w:val="ru-RU"/>
        </w:rPr>
        <w:t>;</w:t>
      </w:r>
    </w:p>
    <w:p>
      <w:pPr>
        <w:pStyle w:val="Normal.0"/>
        <w:jc w:val="both"/>
      </w:pPr>
    </w:p>
    <w:p>
      <w:pPr>
        <w:pStyle w:val="Normal.0"/>
        <w:shd w:val="clear" w:color="auto" w:fill="ffffff"/>
        <w:spacing w:after="225" w:line="375" w:lineRule="atLeast"/>
        <w:ind w:right="300"/>
        <w:jc w:val="both"/>
        <w:outlineLvl w:val="2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Отказ от услуги</w:t>
      </w:r>
    </w:p>
    <w:p>
      <w:pPr>
        <w:pStyle w:val="Normal.0"/>
        <w:shd w:val="clear" w:color="auto" w:fill="ffffff"/>
        <w:spacing w:before="210" w:after="210" w:line="300" w:lineRule="atLeast"/>
        <w:ind w:right="300"/>
        <w:jc w:val="both"/>
        <w:rPr>
          <w:outline w:val="0"/>
          <w:color w:val="3b3838"/>
          <w:u w:color="3b3838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Право потребителя на расторжение договора об оказании услуги регламентируется статьей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32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федерального закона «О защите прав потребителей»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 Потребитель вправе расторгнуть договор об оказании услуги в любое время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произведенные им до этого момента в целях исполнения договора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если они не входят в указанную часть цены услуги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 Потребитель при обнаружении недостатков оказанной услуги вправе по своему выбору потребовать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:</w:t>
      </w:r>
    </w:p>
    <w:p>
      <w:pPr>
        <w:pStyle w:val="Normal.0"/>
        <w:numPr>
          <w:ilvl w:val="1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безвозмездного устранения недостатков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p>
      <w:pPr>
        <w:pStyle w:val="Normal.0"/>
        <w:numPr>
          <w:ilvl w:val="1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соответствующего уменьшения цены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p>
      <w:pPr>
        <w:pStyle w:val="Normal.0"/>
        <w:numPr>
          <w:ilvl w:val="1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возмещения понесенных им расходов по устранению недостатков своими силами или третьими лицами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 Потребитель вправе предъявлять требования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связанные с недостатками оказанной услуги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если они обнаружены в течение гарантийного срока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а при его отсутствии в разумный срок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в пределах двух лет со дня принятия оказанной услуги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line="300" w:lineRule="atLeast"/>
        <w:ind w:right="0"/>
        <w:jc w:val="both"/>
        <w:rPr>
          <w:outline w:val="0"/>
          <w:color w:val="3b3838"/>
          <w:rtl w:val="0"/>
          <w:lang w:val="ru-RU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 Исполнитель отвечает за недостатки услуги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на которую не установлен гарантийный срок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если потребитель докажет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что они возникли до ее принятия им или по причинам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возникшим до этого момента</w:t>
      </w:r>
      <w:r>
        <w:rPr>
          <w:outline w:val="0"/>
          <w:color w:val="3b3838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sectPr>
      <w:headerReference w:type="default" r:id="rId6"/>
      <w:footerReference w:type="default" r:id="rId7"/>
      <w:pgSz w:w="11900" w:h="16840" w:orient="portrait"/>
      <w:pgMar w:top="709" w:right="850" w:bottom="1134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